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5029835</wp:posOffset>
                </wp:positionH>
                <wp:positionV relativeFrom="paragraph">
                  <wp:posOffset>-240030</wp:posOffset>
                </wp:positionV>
                <wp:extent cx="2864485" cy="1029970"/>
                <wp:effectExtent l="0" t="0" r="0" b="0"/>
                <wp:wrapNone/>
                <wp:docPr id="6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4485" cy="1029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90" w:lineRule="exact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396.05pt;margin-top:-18.9pt;height:81.1pt;width:225.55pt;z-index:251660288;mso-width-relative:page;mso-height-relative:page;" filled="f" stroked="f" coordsize="21600,21600" o:gfxdata="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5N00G9gAAAAMAQAA&#10;DwAAAAAAAAABACAAAAAiAAAAZHJzL2Rvd25yZXYueG1sUEsBAhQAFAAAAAgAh07iQC4BUb8ZAgAA&#10;FgQAAA4AAAAAAAAAAQAgAAAAJwEAAGRycy9lMm9Eb2MueG1sUEsFBgAAAAAGAAYAWQEAALIFAAAA&#10;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290" w:lineRule="exact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INCLUDEPICTURE \d "C:\\Users\\Administrator\\Documents\\WXWork\\1688850975902555\\Cache\\Image\\2023-06\\迈谱标识0.54-2.99.png" \* MERGEFORMATINET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INCLUDEPICTURE  "C:\\Users\\Administrator\\Documents\\WXWork\\1688850975902555\\Cache\\Image\\2023-06\\迈谱标识0.54-2.99.png" \* MERGEFORMATINET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INCLUDEPICTURE  "C:\\Users\\Administrator\\Documents\\WXWork\\1688850975902555\\Cache\\Image\\2023-06\\迈谱标识0.54-2.99.png" \* MERGEFORMATINET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INCLUDEPICTURE  "C:\\Users\\Administrator\\Documents\\WXWork\\1688850975902555\\Cache\\Image\\2023-06\\迈谱标识0.54-2.99.png" \* MERGEFORMATINET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fldChar w:fldCharType="begin"/>
      </w:r>
      <w:r>
        <w:rPr>
          <w:rFonts w:hint="default" w:ascii="Times New Roman" w:hAnsi="Times New Roman" w:cs="Times New Roman"/>
          <w:sz w:val="24"/>
        </w:rPr>
        <w:instrText xml:space="preserve"> INCLUDEPICTURE  "C:\\Users\\Administrator\\Documents\\WXWork\\1688850975902555\\Cache\\Image\\2023-06\\迈谱标识0.54-2.99.png" \* MERGEFORMATINET </w:instrText>
      </w:r>
      <w:r>
        <w:rPr>
          <w:rFonts w:hint="default" w:ascii="Times New Roman" w:hAnsi="Times New Roman" w:cs="Times New Roman"/>
          <w:sz w:val="24"/>
        </w:rPr>
        <w:fldChar w:fldCharType="separate"/>
      </w:r>
      <w:r>
        <w:rPr>
          <w:rFonts w:hint="default" w:ascii="Times New Roman" w:hAnsi="Times New Roman" w:cs="Times New Roman"/>
          <w:sz w:val="24"/>
        </w:rPr>
        <w:pict>
          <v:shape id="_x0000_i1025" o:spt="75" alt="IMG_256" type="#_x0000_t75" style="height:21.75pt;width:118.9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fldChar w:fldCharType="end"/>
      </w:r>
      <w:r>
        <w:rPr>
          <w:rFonts w:hint="default" w:ascii="Times New Roman" w:hAnsi="Times New Roman" w:cs="Times New Roman"/>
          <w:sz w:val="24"/>
        </w:rPr>
        <w:fldChar w:fldCharType="end"/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kern w:val="0"/>
          <w:sz w:val="72"/>
          <w:szCs w:val="72"/>
        </w:rPr>
      </w:pPr>
      <w:r>
        <w:rPr>
          <w:rFonts w:hint="default" w:ascii="Times New Roman" w:hAnsi="Times New Roman" w:cs="Times New Roman"/>
          <w:b/>
          <w:bCs/>
          <w:kern w:val="0"/>
          <w:sz w:val="72"/>
          <w:szCs w:val="72"/>
        </w:rPr>
        <w:t>检  测  报  告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72"/>
          <w:szCs w:val="72"/>
        </w:rPr>
      </w:pPr>
    </w:p>
    <w:p>
      <w:pPr>
        <w:spacing w:line="360" w:lineRule="auto"/>
        <w:ind w:firstLine="1680" w:firstLineChars="600"/>
        <w:rPr>
          <w:rFonts w:hint="default" w:ascii="Times New Roman" w:hAnsi="Times New Roman" w:cs="Times New Roman"/>
          <w:kern w:val="0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kern w:val="0"/>
          <w:sz w:val="28"/>
          <w:szCs w:val="28"/>
        </w:rPr>
        <w:t>报告编号：</w:t>
      </w:r>
      <w:r>
        <w:rPr>
          <w:rFonts w:hint="default" w:ascii="Times New Roman" w:hAnsi="Times New Roman" w:cs="Times New Roman"/>
          <w:kern w:val="0"/>
          <w:sz w:val="28"/>
          <w:szCs w:val="28"/>
          <w:u w:val="single"/>
        </w:rPr>
        <w:t xml:space="preserve">    </w:t>
      </w:r>
      <w:r>
        <w:rPr>
          <w:rFonts w:hint="eastAsia" w:cs="Times New Roman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kern w:val="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  <w:u w:val="single"/>
        </w:rPr>
        <w:t>JS/BG-P23</w:t>
      </w:r>
      <w:r>
        <w:rPr>
          <w:rFonts w:hint="eastAsia" w:cs="Times New Roman"/>
          <w:color w:val="000000"/>
          <w:kern w:val="0"/>
          <w:sz w:val="28"/>
          <w:szCs w:val="28"/>
          <w:u w:val="single"/>
          <w:lang w:val="en-US" w:eastAsia="zh-CN"/>
        </w:rPr>
        <w:t>11001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  <w:u w:val="single"/>
        </w:rPr>
        <w:t xml:space="preserve">    </w:t>
      </w:r>
      <w:r>
        <w:rPr>
          <w:rFonts w:hint="eastAsia" w:cs="Times New Roman"/>
          <w:color w:val="000000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cs="Times New Roman"/>
          <w:kern w:val="0"/>
          <w:sz w:val="28"/>
          <w:szCs w:val="28"/>
          <w:u w:val="single"/>
        </w:rPr>
        <w:t xml:space="preserve">  </w:t>
      </w:r>
    </w:p>
    <w:p>
      <w:pPr>
        <w:spacing w:line="360" w:lineRule="auto"/>
        <w:ind w:left="630" w:leftChars="300" w:firstLine="1041" w:firstLineChars="372"/>
        <w:rPr>
          <w:rFonts w:hint="default" w:ascii="Times New Roman" w:hAnsi="Times New Roman" w:cs="Times New Roman"/>
          <w:color w:val="000000"/>
          <w:kern w:val="0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kern w:val="0"/>
          <w:sz w:val="28"/>
          <w:szCs w:val="28"/>
        </w:rPr>
        <w:t>样品名称：</w:t>
      </w:r>
      <w:r>
        <w:rPr>
          <w:rFonts w:hint="default" w:ascii="Times New Roman" w:hAnsi="Times New Roman" w:cs="Times New Roman"/>
          <w:sz w:val="28"/>
          <w:szCs w:val="28"/>
          <w:u w:val="single"/>
          <w:lang w:bidi="ar"/>
        </w:rPr>
        <w:t xml:space="preserve"> </w:t>
      </w:r>
      <w:r>
        <w:rPr>
          <w:rFonts w:hint="eastAsia" w:cs="Times New Roman"/>
          <w:kern w:val="0"/>
          <w:sz w:val="28"/>
          <w:szCs w:val="28"/>
          <w:u w:val="single"/>
          <w:lang w:val="en-US" w:eastAsia="zh-CN"/>
        </w:rPr>
        <w:t xml:space="preserve">NIST </w:t>
      </w:r>
      <w:r>
        <w:rPr>
          <w:rFonts w:hint="eastAsia" w:cs="Times New Roman"/>
          <w:sz w:val="28"/>
          <w:szCs w:val="28"/>
          <w:u w:val="single"/>
          <w:lang w:val="en-US" w:eastAsia="zh-CN" w:bidi="ar"/>
        </w:rPr>
        <w:t>SRM 1992</w:t>
      </w:r>
      <w:r>
        <w:rPr>
          <w:rFonts w:hint="default" w:ascii="Times New Roman" w:hAnsi="Times New Roman" w:cs="Times New Roman"/>
          <w:sz w:val="28"/>
          <w:szCs w:val="28"/>
          <w:u w:val="single"/>
          <w:lang w:bidi="ar"/>
        </w:rPr>
        <w:t>、</w:t>
      </w:r>
      <w:r>
        <w:rPr>
          <w:rFonts w:hint="eastAsia" w:cs="Times New Roman"/>
          <w:kern w:val="0"/>
          <w:sz w:val="28"/>
          <w:szCs w:val="28"/>
          <w:u w:val="single"/>
          <w:lang w:val="en-US" w:eastAsia="zh-CN"/>
        </w:rPr>
        <w:t xml:space="preserve">NIST </w:t>
      </w:r>
      <w:r>
        <w:rPr>
          <w:rFonts w:hint="eastAsia" w:cs="Times New Roman"/>
          <w:sz w:val="28"/>
          <w:szCs w:val="28"/>
          <w:u w:val="single"/>
          <w:lang w:val="en-US" w:eastAsia="zh-CN" w:bidi="ar"/>
        </w:rPr>
        <w:t>SRM 1993</w:t>
      </w:r>
      <w:r>
        <w:rPr>
          <w:rFonts w:hint="default" w:ascii="Times New Roman" w:hAnsi="Times New Roman" w:cs="Times New Roman"/>
          <w:sz w:val="28"/>
          <w:szCs w:val="28"/>
          <w:u w:val="single"/>
          <w:lang w:bidi="ar"/>
        </w:rPr>
        <w:t xml:space="preserve"> </w:t>
      </w:r>
    </w:p>
    <w:p>
      <w:pPr>
        <w:spacing w:line="360" w:lineRule="auto"/>
        <w:ind w:left="630" w:leftChars="300" w:firstLine="1041" w:firstLineChars="372"/>
        <w:rPr>
          <w:rFonts w:hint="eastAsia" w:ascii="Times New Roman" w:hAnsi="Times New Roman" w:eastAsia="宋体" w:cs="Times New Roman"/>
          <w:kern w:val="0"/>
          <w:sz w:val="28"/>
          <w:szCs w:val="28"/>
          <w:u w:val="single"/>
          <w:lang w:val="en-US" w:eastAsia="zh-CN"/>
        </w:rPr>
      </w:pPr>
      <w:r>
        <w:rPr>
          <w:rFonts w:hint="default" w:ascii="Times New Roman" w:hAnsi="Times New Roman" w:cs="Times New Roman"/>
          <w:kern w:val="0"/>
          <w:sz w:val="28"/>
          <w:szCs w:val="28"/>
        </w:rPr>
        <w:t>样品来源：</w:t>
      </w:r>
      <w:r>
        <w:rPr>
          <w:rFonts w:hint="eastAsia" w:cs="Times New Roman"/>
          <w:kern w:val="0"/>
          <w:sz w:val="28"/>
          <w:szCs w:val="28"/>
          <w:u w:val="single"/>
          <w:lang w:val="en-US" w:eastAsia="zh-CN"/>
        </w:rPr>
        <w:t xml:space="preserve">       NIST有证标准物质      </w:t>
      </w:r>
      <w:r>
        <w:rPr>
          <w:rFonts w:hint="eastAsia" w:cs="Times New Roman"/>
          <w:sz w:val="28"/>
          <w:szCs w:val="28"/>
          <w:u w:val="single"/>
          <w:lang w:val="en-US" w:eastAsia="zh-CN"/>
        </w:rPr>
        <w:t xml:space="preserve"> </w:t>
      </w:r>
    </w:p>
    <w:p>
      <w:pPr>
        <w:spacing w:line="360" w:lineRule="auto"/>
        <w:ind w:firstLine="1680" w:firstLineChars="600"/>
        <w:rPr>
          <w:rFonts w:hint="default" w:ascii="Times New Roman" w:hAnsi="Times New Roman" w:cs="Times New Roman"/>
          <w:kern w:val="0"/>
          <w:sz w:val="28"/>
          <w:szCs w:val="28"/>
          <w:u w:val="single"/>
        </w:rPr>
      </w:pPr>
      <w:r>
        <w:rPr>
          <w:rFonts w:hint="default" w:ascii="Times New Roman" w:hAnsi="Times New Roman" w:cs="Times New Roman"/>
          <w:kern w:val="0"/>
          <w:sz w:val="28"/>
          <w:szCs w:val="28"/>
        </w:rPr>
        <w:t>委托单位：</w:t>
      </w:r>
      <w:r>
        <w:rPr>
          <w:rFonts w:hint="eastAsia" w:cs="Times New Roman"/>
          <w:kern w:val="0"/>
          <w:sz w:val="28"/>
          <w:szCs w:val="28"/>
          <w:u w:val="single"/>
          <w:lang w:val="en-US" w:eastAsia="zh-CN"/>
        </w:rPr>
        <w:t xml:space="preserve">               /              </w:t>
      </w:r>
      <w:r>
        <w:rPr>
          <w:rFonts w:hint="default" w:ascii="Times New Roman" w:hAnsi="Times New Roman" w:cs="Times New Roman"/>
          <w:sz w:val="28"/>
          <w:szCs w:val="28"/>
          <w:u w:val="single"/>
        </w:rPr>
        <w:t xml:space="preserve"> </w:t>
      </w:r>
    </w:p>
    <w:p>
      <w:pPr>
        <w:spacing w:line="360" w:lineRule="auto"/>
        <w:rPr>
          <w:rFonts w:hint="default" w:ascii="Times New Roman" w:hAnsi="Times New Roman" w:cs="Times New Roman"/>
          <w:kern w:val="0"/>
          <w:sz w:val="28"/>
          <w:szCs w:val="28"/>
          <w:u w:val="single"/>
        </w:rPr>
      </w:pPr>
    </w:p>
    <w:p>
      <w:pPr>
        <w:spacing w:line="360" w:lineRule="auto"/>
        <w:ind w:firstLine="2520" w:firstLineChars="900"/>
        <w:rPr>
          <w:rFonts w:hint="default" w:ascii="Times New Roman" w:hAnsi="Times New Roman" w:cs="Times New Roman"/>
          <w:kern w:val="0"/>
          <w:sz w:val="28"/>
          <w:szCs w:val="28"/>
          <w:u w:val="single"/>
        </w:rPr>
      </w:pPr>
    </w:p>
    <w:p>
      <w:pPr>
        <w:spacing w:line="360" w:lineRule="auto"/>
        <w:ind w:firstLine="2520" w:firstLineChars="900"/>
        <w:rPr>
          <w:rFonts w:hint="default" w:ascii="Times New Roman" w:hAnsi="Times New Roman" w:cs="Times New Roman"/>
          <w:kern w:val="0"/>
          <w:sz w:val="28"/>
          <w:szCs w:val="28"/>
          <w:u w:val="single"/>
        </w:rPr>
      </w:pPr>
    </w:p>
    <w:p>
      <w:pPr>
        <w:tabs>
          <w:tab w:val="left" w:pos="2534"/>
        </w:tabs>
        <w:spacing w:line="360" w:lineRule="auto"/>
        <w:ind w:firstLine="2240" w:firstLineChars="800"/>
        <w:rPr>
          <w:rFonts w:hint="default"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迈谱新材料技术（山东）有限公司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kern w:val="0"/>
          <w:sz w:val="24"/>
          <w:szCs w:val="24"/>
        </w:rPr>
      </w:pP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  <w:r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  <w:t>检测报告</w:t>
      </w:r>
    </w:p>
    <w:p>
      <w:pPr>
        <w:spacing w:line="360" w:lineRule="auto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 w:val="24"/>
        </w:rPr>
        <w:t>报告编号：JS/BG-P23</w:t>
      </w:r>
      <w:r>
        <w:rPr>
          <w:rFonts w:hint="eastAsia" w:cs="Times New Roman"/>
          <w:sz w:val="24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</w:rPr>
        <w:t>00</w:t>
      </w:r>
      <w:r>
        <w:rPr>
          <w:rFonts w:hint="eastAsia" w:cs="Times New Roman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color w:val="FF0000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</w:rPr>
        <w:t xml:space="preserve">                                     页码：1/3</w:t>
      </w:r>
      <w:bookmarkStart w:id="0" w:name="OLE_LINK2"/>
      <w:bookmarkStart w:id="1" w:name="OLE_LINK1"/>
    </w:p>
    <w:tbl>
      <w:tblPr>
        <w:tblStyle w:val="4"/>
        <w:tblW w:w="9376" w:type="dxa"/>
        <w:tblInd w:w="-25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2669"/>
        <w:gridCol w:w="1935"/>
        <w:gridCol w:w="2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样品名称</w:t>
            </w:r>
          </w:p>
        </w:tc>
        <w:tc>
          <w:tcPr>
            <w:tcW w:w="74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NIST SRM 1992</w:t>
            </w:r>
            <w:r>
              <w:rPr>
                <w:rFonts w:hint="default" w:ascii="Times New Roman" w:hAnsi="Times New Roman" w:cs="Times New Roman"/>
                <w:kern w:val="0"/>
                <w:sz w:val="24"/>
              </w:rPr>
              <w:t>、</w:t>
            </w:r>
            <w:r>
              <w:rPr>
                <w:rFonts w:hint="default" w:ascii="Times New Roman" w:hAnsi="Times New Roman" w:cs="Times New Roman"/>
                <w:kern w:val="0"/>
                <w:sz w:val="24"/>
                <w:lang w:val="en-US" w:eastAsia="zh-CN"/>
              </w:rPr>
              <w:t>NIST SRM 1993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after="240"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样品批号</w:t>
            </w:r>
          </w:p>
        </w:tc>
        <w:tc>
          <w:tcPr>
            <w:tcW w:w="74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委托人</w:t>
            </w:r>
          </w:p>
        </w:tc>
        <w:tc>
          <w:tcPr>
            <w:tcW w:w="74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>委托人地址</w:t>
            </w:r>
          </w:p>
        </w:tc>
        <w:tc>
          <w:tcPr>
            <w:tcW w:w="74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kern w:val="0"/>
                <w:sz w:val="24"/>
                <w:lang w:val="en-US" w:eastAsia="zh-CN"/>
              </w:rPr>
              <w:t>/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 xml:space="preserve">样品描述  </w:t>
            </w:r>
          </w:p>
        </w:tc>
        <w:tc>
          <w:tcPr>
            <w:tcW w:w="26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乳白色胶体二氧化硅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</w:rPr>
              <w:t>样品数量</w:t>
            </w:r>
          </w:p>
        </w:tc>
        <w:tc>
          <w:tcPr>
            <w:tcW w:w="2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kern w:val="0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 xml:space="preserve">接样日期     </w:t>
            </w:r>
          </w:p>
        </w:tc>
        <w:tc>
          <w:tcPr>
            <w:tcW w:w="26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2023.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10.10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检验日期     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2023.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9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kern w:val="0"/>
                <w:sz w:val="24"/>
              </w:rPr>
              <w:t xml:space="preserve">检测要求        </w:t>
            </w:r>
          </w:p>
        </w:tc>
        <w:tc>
          <w:tcPr>
            <w:tcW w:w="744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Times New Roman" w:hAnsi="Times New Roman" w:cs="Times New Roman"/>
                <w:kern w:val="0"/>
                <w:sz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  <w:t>施加电场(150±5) mV，温度25 ℃，样品介质为水，介质折射率1.332，介质粘度 0.89 mPa▪s，介质相对介电常数78.4，介质密度997.05 kg/m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vertAlign w:val="superscript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</w:tbl>
    <w:p>
      <w:pPr>
        <w:rPr>
          <w:rFonts w:hint="default" w:ascii="Times New Roman" w:hAnsi="Times New Roman" w:cs="Times New Roman"/>
          <w:sz w:val="24"/>
        </w:rPr>
      </w:pPr>
    </w:p>
    <w:tbl>
      <w:tblPr>
        <w:tblStyle w:val="4"/>
        <w:tblpPr w:leftFromText="180" w:rightFromText="180" w:vertAnchor="text" w:horzAnchor="page" w:tblpX="1865" w:tblpY="215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8"/>
        <w:gridCol w:w="3657"/>
        <w:gridCol w:w="16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2998" w:type="dxa"/>
          </w:tcPr>
          <w:p>
            <w:pPr>
              <w:pStyle w:val="8"/>
              <w:spacing w:line="241" w:lineRule="exact"/>
              <w:ind w:left="200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</w:p>
          <w:p>
            <w:pPr>
              <w:pStyle w:val="8"/>
              <w:spacing w:line="241" w:lineRule="exact"/>
              <w:ind w:left="2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编制：</w:t>
            </w:r>
          </w:p>
        </w:tc>
        <w:tc>
          <w:tcPr>
            <w:tcW w:w="3657" w:type="dxa"/>
          </w:tcPr>
          <w:p>
            <w:pPr>
              <w:pStyle w:val="8"/>
              <w:spacing w:line="241" w:lineRule="exact"/>
              <w:ind w:left="2163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pStyle w:val="8"/>
              <w:spacing w:line="241" w:lineRule="exact"/>
              <w:ind w:left="2163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审核：</w:t>
            </w:r>
          </w:p>
        </w:tc>
        <w:tc>
          <w:tcPr>
            <w:tcW w:w="1619" w:type="dxa"/>
          </w:tcPr>
          <w:p>
            <w:pPr>
              <w:pStyle w:val="8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998" w:type="dxa"/>
          </w:tcPr>
          <w:p>
            <w:pPr>
              <w:pStyle w:val="8"/>
              <w:spacing w:before="4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pStyle w:val="8"/>
              <w:spacing w:before="1" w:line="233" w:lineRule="exact"/>
              <w:ind w:left="2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批准：</w:t>
            </w:r>
          </w:p>
        </w:tc>
        <w:tc>
          <w:tcPr>
            <w:tcW w:w="3657" w:type="dxa"/>
          </w:tcPr>
          <w:p>
            <w:pPr>
              <w:pStyle w:val="8"/>
              <w:spacing w:before="1" w:line="233" w:lineRule="exact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pStyle w:val="8"/>
              <w:spacing w:before="1" w:line="233" w:lineRule="exact"/>
              <w:ind w:firstLine="2160" w:firstLineChars="9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签发日期：</w:t>
            </w:r>
          </w:p>
        </w:tc>
        <w:tc>
          <w:tcPr>
            <w:tcW w:w="1619" w:type="dxa"/>
          </w:tcPr>
          <w:p>
            <w:pPr>
              <w:pStyle w:val="8"/>
              <w:spacing w:before="5"/>
              <w:rPr>
                <w:rFonts w:hint="default" w:ascii="Times New Roman" w:hAnsi="Times New Roman" w:eastAsia="宋体" w:cs="Times New Roman"/>
                <w:sz w:val="24"/>
              </w:rPr>
            </w:pPr>
          </w:p>
          <w:p>
            <w:pPr>
              <w:pStyle w:val="8"/>
              <w:spacing w:line="222" w:lineRule="exact"/>
              <w:ind w:left="439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</w:tbl>
    <w:p>
      <w:pPr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szCs w:val="21"/>
        </w:rPr>
        <w:t xml:space="preserve">                      </w:t>
      </w:r>
    </w:p>
    <w:p>
      <w:pPr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1316990</wp:posOffset>
                </wp:positionH>
                <wp:positionV relativeFrom="paragraph">
                  <wp:posOffset>83185</wp:posOffset>
                </wp:positionV>
                <wp:extent cx="2781300" cy="713740"/>
                <wp:effectExtent l="2540" t="0" r="0" b="2540"/>
                <wp:wrapNone/>
                <wp:docPr id="8903590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1300" cy="713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ind w:firstLine="2520" w:firstLineChars="900"/>
                              <w:rPr>
                                <w:rFonts w:ascii="宋体" w:hAnsi="宋体"/>
                                <w:kern w:val="0"/>
                                <w:sz w:val="28"/>
                                <w:szCs w:val="28"/>
                                <w:u w:val="single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ascii="宋体" w:hAnsi="宋体"/>
                                <w:b/>
                                <w:bCs/>
                                <w:kern w:val="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</w:rPr>
                              <w:t>迈谱新材料技术（山东）有限公司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03.7pt;margin-top:6.55pt;height:56.2pt;width:219pt;z-index:251659264;mso-width-relative:page;mso-height-relative:page;" fillcolor="#FFFFFF" filled="t" stroked="f" coordsize="21600,21600" o:gfxdata="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k9XbdcAAAAKAQAADwAAAAAAAAABACAAAAAiAAAAZHJzL2Rvd25y&#10;ZXYueG1sUEsBAhQAFAAAAAgAh07iQGBJ2f04AgAAVAQAAA4AAAAAAAAAAQAgAAAAJgEAAGRycy9l&#10;Mm9Eb2MueG1sUEsFBgAAAAAGAAYAWQEAANA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ind w:firstLine="2520" w:firstLineChars="900"/>
                        <w:rPr>
                          <w:rFonts w:ascii="宋体" w:hAnsi="宋体"/>
                          <w:kern w:val="0"/>
                          <w:sz w:val="28"/>
                          <w:szCs w:val="28"/>
                          <w:u w:val="single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ascii="宋体" w:hAnsi="宋体"/>
                          <w:b/>
                          <w:bCs/>
                          <w:kern w:val="0"/>
                          <w:sz w:val="48"/>
                          <w:szCs w:val="48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</w:rPr>
                        <w:t>迈谱新材料技术（山东）有限公司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  <w:szCs w:val="21"/>
        </w:rPr>
      </w:pPr>
    </w:p>
    <w:p>
      <w:pPr>
        <w:rPr>
          <w:rFonts w:hint="default" w:ascii="Times New Roman" w:hAnsi="Times New Roman" w:cs="Times New Roman"/>
          <w:szCs w:val="21"/>
        </w:rPr>
      </w:pPr>
    </w:p>
    <w:p>
      <w:pPr>
        <w:rPr>
          <w:rFonts w:hint="default" w:ascii="Times New Roman" w:hAnsi="Times New Roman" w:cs="Times New Roman"/>
          <w:szCs w:val="21"/>
        </w:rPr>
      </w:pPr>
    </w:p>
    <w:p>
      <w:pPr>
        <w:rPr>
          <w:rFonts w:hint="default" w:ascii="Times New Roman" w:hAnsi="Times New Roman" w:cs="Times New Roman"/>
          <w:sz w:val="24"/>
        </w:rPr>
      </w:pPr>
    </w:p>
    <w:p>
      <w:pPr>
        <w:jc w:val="right"/>
        <w:rPr>
          <w:rFonts w:hint="default" w:ascii="Times New Roman" w:hAnsi="Times New Roman" w:cs="Times New Roman"/>
          <w:szCs w:val="21"/>
        </w:rPr>
        <w:sectPr>
          <w:headerReference r:id="rId3" w:type="default"/>
          <w:footerReference r:id="rId4" w:type="default"/>
          <w:pgSz w:w="12240" w:h="15840"/>
          <w:pgMar w:top="1440" w:right="1800" w:bottom="1440" w:left="1800" w:header="720" w:footer="720" w:gutter="0"/>
          <w:cols w:space="720" w:num="1"/>
          <w:titlePg/>
          <w:docGrid w:linePitch="286" w:charSpace="0"/>
        </w:sectPr>
      </w:pPr>
    </w:p>
    <w:p>
      <w:pPr>
        <w:ind w:right="420"/>
        <w:jc w:val="righ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·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  <w:r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  <w:t>检测报告</w:t>
      </w:r>
    </w:p>
    <w:p>
      <w:pPr>
        <w:spacing w:line="360" w:lineRule="auto"/>
        <w:jc w:val="left"/>
        <w:rPr>
          <w:rFonts w:hint="default" w:ascii="Times New Roman" w:hAnsi="Times New Roman" w:cs="Times New Roman"/>
          <w:sz w:val="24"/>
          <w:szCs w:val="28"/>
        </w:rPr>
      </w:pPr>
      <w:r>
        <w:rPr>
          <w:rFonts w:hint="default"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266700</wp:posOffset>
                </wp:positionV>
                <wp:extent cx="5831840" cy="7115175"/>
                <wp:effectExtent l="4445" t="4445" r="12065" b="508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711517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1pt;margin-top:21pt;height:560.25pt;width:459.2pt;z-index:251661312;mso-width-relative:page;mso-height-relative:page;" filled="f" stroked="t" coordsize="21600,21600" o:gfxdata="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4NOYzYAAAACwEAAA8AAAAAAAAAAQAgAAAAIgAAAGRycy9kb3ducmV2LnhtbFBL&#10;AQIUABQAAAAIAIdO4kBG1edc9gEAAPYDAAAOAAAAAAAAAAEAIAAAACcBAABkcnMvZTJvRG9jLnht&#10;bFBLBQYAAAAABgAGAFkBAACPBQAAAAA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8"/>
        </w:rPr>
        <w:t>报告编号：</w:t>
      </w:r>
      <w:r>
        <w:rPr>
          <w:rFonts w:hint="default" w:ascii="Times New Roman" w:hAnsi="Times New Roman" w:cs="Times New Roman"/>
          <w:sz w:val="24"/>
        </w:rPr>
        <w:t>JS/BG-P23</w:t>
      </w:r>
      <w:r>
        <w:rPr>
          <w:rFonts w:hint="eastAsia" w:cs="Times New Roman"/>
          <w:sz w:val="24"/>
          <w:lang w:val="en-US" w:eastAsia="zh-CN"/>
        </w:rPr>
        <w:t>11001</w:t>
      </w:r>
      <w:r>
        <w:rPr>
          <w:rFonts w:hint="default" w:ascii="Times New Roman" w:hAnsi="Times New Roman" w:cs="Times New Roman"/>
          <w:sz w:val="24"/>
          <w:szCs w:val="28"/>
        </w:rPr>
        <w:t xml:space="preserve">                                     页码：2/3</w:t>
      </w:r>
    </w:p>
    <w:p>
      <w:pPr>
        <w:spacing w:line="360" w:lineRule="auto"/>
        <w:jc w:val="left"/>
        <w:rPr>
          <w:rFonts w:hint="default" w:ascii="Times New Roman" w:hAnsi="Times New Roman" w:cs="Times New Roman"/>
          <w:b/>
          <w:bCs/>
          <w:sz w:val="24"/>
          <w:szCs w:val="28"/>
        </w:rPr>
      </w:pPr>
      <w:r>
        <w:rPr>
          <w:rFonts w:hint="eastAsia" w:cs="Times New Roman"/>
          <w:b/>
          <w:bCs/>
          <w:sz w:val="24"/>
          <w:szCs w:val="28"/>
          <w:lang w:val="en-US" w:eastAsia="zh-CN"/>
        </w:rPr>
        <w:t>一、</w:t>
      </w:r>
      <w:r>
        <w:rPr>
          <w:rFonts w:hint="default" w:ascii="Times New Roman" w:hAnsi="Times New Roman" w:cs="Times New Roman"/>
          <w:b/>
          <w:bCs/>
          <w:sz w:val="24"/>
          <w:szCs w:val="28"/>
        </w:rPr>
        <w:t>检测方法</w:t>
      </w:r>
    </w:p>
    <w:p>
      <w:pPr>
        <w:spacing w:line="360" w:lineRule="auto"/>
        <w:jc w:val="left"/>
        <w:rPr>
          <w:rFonts w:hint="default" w:ascii="Times New Roman" w:hAnsi="Times New Roman" w:cs="Times New Roman"/>
          <w:sz w:val="24"/>
          <w:szCs w:val="28"/>
        </w:rPr>
      </w:pPr>
      <w:r>
        <w:rPr>
          <w:rFonts w:hint="default" w:ascii="Times New Roman" w:hAnsi="Times New Roman" w:cs="Times New Roman"/>
          <w:color w:val="FF0000"/>
          <w:sz w:val="24"/>
          <w:szCs w:val="28"/>
        </w:rPr>
        <w:t xml:space="preserve">  </w:t>
      </w:r>
      <w:r>
        <w:rPr>
          <w:rFonts w:hint="default" w:ascii="Times New Roman" w:hAnsi="Times New Roman" w:cs="Times New Roman"/>
          <w:sz w:val="24"/>
          <w:szCs w:val="28"/>
        </w:rPr>
        <w:t xml:space="preserve">  </w:t>
      </w:r>
      <w:r>
        <w:rPr>
          <w:rFonts w:hint="default" w:ascii="Times New Roman" w:hAnsi="Times New Roman" w:eastAsia="宋体" w:cs="Times New Roman"/>
          <w:sz w:val="24"/>
          <w:szCs w:val="24"/>
        </w:rPr>
        <w:t>依据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>T/XXXX XXXX-XXXX</w:t>
      </w:r>
      <w:r>
        <w:rPr>
          <w:rFonts w:hint="default" w:ascii="Times New Roman" w:hAnsi="Times New Roman" w:eastAsia="宋体" w:cs="Times New Roman"/>
          <w:sz w:val="24"/>
          <w:szCs w:val="24"/>
        </w:rPr>
        <w:t>《</w:t>
      </w:r>
      <w:r>
        <w:rPr>
          <w:rFonts w:hint="eastAsia" w:cs="Times New Roman"/>
          <w:sz w:val="24"/>
          <w:szCs w:val="24"/>
          <w:lang w:val="en-US" w:eastAsia="zh-CN"/>
        </w:rPr>
        <w:t>电泳光散射法zeta电位仪校准规范</w:t>
      </w:r>
      <w:r>
        <w:rPr>
          <w:rFonts w:hint="default" w:ascii="Times New Roman" w:hAnsi="Times New Roman" w:eastAsia="宋体" w:cs="Times New Roman"/>
          <w:sz w:val="24"/>
          <w:szCs w:val="24"/>
        </w:rPr>
        <w:t>》进行</w:t>
      </w:r>
      <w:r>
        <w:rPr>
          <w:rFonts w:hint="eastAsia" w:cs="Times New Roman"/>
          <w:sz w:val="24"/>
          <w:szCs w:val="24"/>
          <w:lang w:val="en-US" w:eastAsia="zh-CN"/>
        </w:rPr>
        <w:t>zeta电位</w:t>
      </w:r>
      <w:r>
        <w:rPr>
          <w:rFonts w:hint="default" w:ascii="Times New Roman" w:hAnsi="Times New Roman" w:eastAsia="宋体" w:cs="Times New Roman"/>
          <w:sz w:val="24"/>
          <w:szCs w:val="24"/>
        </w:rPr>
        <w:t>、</w:t>
      </w:r>
      <w:r>
        <w:rPr>
          <w:rFonts w:hint="eastAsia" w:cs="Times New Roman"/>
          <w:sz w:val="24"/>
          <w:szCs w:val="24"/>
          <w:lang w:val="en-US" w:eastAsia="zh-CN"/>
        </w:rPr>
        <w:t>电泳迁移率的</w:t>
      </w:r>
      <w:r>
        <w:rPr>
          <w:rFonts w:hint="default" w:ascii="Times New Roman" w:hAnsi="Times New Roman" w:eastAsia="宋体" w:cs="Times New Roman"/>
          <w:sz w:val="24"/>
          <w:szCs w:val="24"/>
        </w:rPr>
        <w:t>测试。</w:t>
      </w:r>
    </w:p>
    <w:p>
      <w:pPr>
        <w:spacing w:line="360" w:lineRule="auto"/>
        <w:jc w:val="left"/>
        <w:rPr>
          <w:rFonts w:hint="default" w:ascii="Times New Roman" w:hAnsi="Times New Roman" w:cs="Times New Roman"/>
          <w:b/>
          <w:bCs/>
          <w:sz w:val="24"/>
          <w:szCs w:val="28"/>
        </w:rPr>
      </w:pPr>
      <w:r>
        <w:rPr>
          <w:rFonts w:hint="eastAsia" w:cs="Times New Roman"/>
          <w:b/>
          <w:bCs/>
          <w:sz w:val="24"/>
          <w:szCs w:val="28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bCs/>
          <w:sz w:val="24"/>
          <w:szCs w:val="28"/>
        </w:rPr>
        <w:t>、检测结果</w:t>
      </w:r>
      <w:bookmarkEnd w:id="0"/>
      <w:bookmarkEnd w:id="1"/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843"/>
        <w:gridCol w:w="1533"/>
        <w:gridCol w:w="190"/>
        <w:gridCol w:w="1343"/>
        <w:gridCol w:w="1542"/>
        <w:gridCol w:w="8"/>
        <w:gridCol w:w="1534"/>
        <w:gridCol w:w="15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校准项目</w:t>
            </w:r>
          </w:p>
        </w:tc>
        <w:tc>
          <w:tcPr>
            <w:tcW w:w="59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</w:rPr>
            </w:pPr>
            <w:r>
              <w:rPr>
                <w:rFonts w:hint="default"/>
              </w:rPr>
              <w:t>校准结果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t>温度设定值误差</w:t>
            </w:r>
            <w:r>
              <w:rPr>
                <w:rFonts w:hint="default"/>
                <w:lang w:val="en-US" w:eastAsia="zh-CN"/>
              </w:rPr>
              <w:t>(</w:t>
            </w:r>
            <w:r>
              <w:rPr>
                <w:rFonts w:hint="default"/>
              </w:rPr>
              <w:t>℃</w:t>
            </w:r>
            <w:r>
              <w:rPr>
                <w:rFonts w:hint="default"/>
                <w:lang w:val="en-US" w:eastAsia="zh-CN"/>
              </w:rPr>
              <w:t>)</w:t>
            </w:r>
          </w:p>
        </w:tc>
        <w:tc>
          <w:tcPr>
            <w:tcW w:w="59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0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2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</w:rPr>
              <w:t>温度波动误差</w:t>
            </w:r>
            <w:r>
              <w:rPr>
                <w:rFonts w:hint="default"/>
                <w:lang w:val="en-US" w:eastAsia="zh-CN"/>
              </w:rPr>
              <w:t>(</w:t>
            </w:r>
            <w:r>
              <w:rPr>
                <w:rFonts w:hint="default"/>
              </w:rPr>
              <w:t>℃</w:t>
            </w:r>
            <w:r>
              <w:rPr>
                <w:rFonts w:hint="default"/>
                <w:lang w:val="en-US" w:eastAsia="zh-CN"/>
              </w:rPr>
              <w:t>)</w:t>
            </w:r>
          </w:p>
        </w:tc>
        <w:tc>
          <w:tcPr>
            <w:tcW w:w="59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18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电泳迁移率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示值误差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和测量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重复性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65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温度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lang w:eastAsia="zh-CN"/>
              </w:rPr>
              <w:t>℃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)</w:t>
            </w:r>
          </w:p>
        </w:tc>
        <w:tc>
          <w:tcPr>
            <w:tcW w:w="84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标准物质</w:t>
            </w:r>
          </w:p>
        </w:tc>
        <w:tc>
          <w:tcPr>
            <w:tcW w:w="153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电泳迁移率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标准值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(×10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3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电泳迁移率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示值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(×10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50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电泳迁移率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示值误差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(×10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34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电泳迁移率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测量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(×10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534" w:type="dxa"/>
            <w:tcBorders>
              <w:top w:val="doub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扩展不确定度(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=2)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(×10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NIST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SRM 1992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-4.5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-4.69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-0.19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0.45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6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NIST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SRM 1993</w:t>
            </w:r>
          </w:p>
        </w:tc>
        <w:tc>
          <w:tcPr>
            <w:tcW w:w="1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-4.3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-4.33</w:t>
            </w:r>
          </w:p>
        </w:tc>
        <w:tc>
          <w:tcPr>
            <w:tcW w:w="15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-0.03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0.07</w:t>
            </w:r>
          </w:p>
        </w:tc>
        <w:tc>
          <w:tcPr>
            <w:tcW w:w="15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0.36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9180" w:type="dxa"/>
            <w:gridSpan w:val="9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zeta电位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示值误差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和测量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重复性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6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温度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lang w:eastAsia="zh-CN"/>
              </w:rPr>
              <w:t>℃</w:t>
            </w: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)</w:t>
            </w:r>
          </w:p>
        </w:tc>
        <w:tc>
          <w:tcPr>
            <w:tcW w:w="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标准物质</w:t>
            </w:r>
          </w:p>
        </w:tc>
        <w:tc>
          <w:tcPr>
            <w:tcW w:w="153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zeta电位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标准值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（mV）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zeta电位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示值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mV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)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zeta电位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</w:rPr>
              <w:t>示值误差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mV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)</w:t>
            </w: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zeta电位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  <w:t>测量</w:t>
            </w:r>
            <w:r>
              <w:rPr>
                <w:rFonts w:hint="default" w:ascii="Times New Roman" w:hAnsi="Times New Roman" w:eastAsia="宋体" w:cs="Times New Roman"/>
                <w:color w:val="auto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mV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)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扩展不确定度(</w:t>
            </w:r>
            <w:r>
              <w:rPr>
                <w:rFonts w:hint="default" w:ascii="Times New Roman" w:hAnsi="Times New Roman" w:eastAsia="宋体" w:cs="Times New Roman"/>
                <w:i/>
                <w:iCs/>
                <w:color w:val="auto"/>
                <w:szCs w:val="21"/>
                <w:lang w:val="en-US" w:eastAsia="zh-CN"/>
              </w:rPr>
              <w:t>k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=2)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/>
              </w:rPr>
              <w:t>mV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u w:val="none"/>
                <w:vertAlign w:val="baseline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6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NIST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SRM 1992</w:t>
            </w:r>
          </w:p>
        </w:tc>
        <w:tc>
          <w:tcPr>
            <w:tcW w:w="153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-58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-59.9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-1.9</w:t>
            </w: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5.4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6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 xml:space="preserve">NIST </w:t>
            </w: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SRM 1993</w:t>
            </w:r>
          </w:p>
        </w:tc>
        <w:tc>
          <w:tcPr>
            <w:tcW w:w="153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-56</w:t>
            </w:r>
          </w:p>
        </w:tc>
        <w:tc>
          <w:tcPr>
            <w:tcW w:w="1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-55.4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0.6</w:t>
            </w:r>
          </w:p>
        </w:tc>
        <w:tc>
          <w:tcPr>
            <w:tcW w:w="15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1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4.5</w:t>
            </w:r>
          </w:p>
        </w:tc>
      </w:tr>
    </w:tbl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  <w:sectPr>
          <w:footerReference r:id="rId5" w:type="default"/>
          <w:pgSz w:w="12240" w:h="15840"/>
          <w:pgMar w:top="1440" w:right="1800" w:bottom="1440" w:left="1800" w:header="720" w:footer="720" w:gutter="0"/>
          <w:cols w:space="720" w:num="1"/>
        </w:sectPr>
      </w:pPr>
    </w:p>
    <w:p>
      <w:pPr>
        <w:ind w:right="420"/>
        <w:jc w:val="righ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·</w:t>
      </w:r>
    </w:p>
    <w:p>
      <w:pPr>
        <w:spacing w:line="360" w:lineRule="auto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b/>
          <w:bCs/>
          <w:kern w:val="0"/>
          <w:sz w:val="48"/>
          <w:szCs w:val="48"/>
        </w:rPr>
        <w:t>检测报告</w:t>
      </w:r>
    </w:p>
    <w:p>
      <w:pPr>
        <w:spacing w:line="360" w:lineRule="auto"/>
        <w:jc w:val="left"/>
        <w:rPr>
          <w:rFonts w:hint="default" w:ascii="Times New Roman" w:hAnsi="Times New Roman" w:cs="Times New Roman"/>
          <w:sz w:val="24"/>
          <w:szCs w:val="28"/>
        </w:rPr>
      </w:pPr>
      <w:r>
        <w:rPr>
          <w:rFonts w:hint="default" w:ascii="Times New Roman" w:hAnsi="Times New Roman" w:cs="Times New Roman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-189230</wp:posOffset>
                </wp:positionH>
                <wp:positionV relativeFrom="paragraph">
                  <wp:posOffset>236220</wp:posOffset>
                </wp:positionV>
                <wp:extent cx="5831840" cy="7333615"/>
                <wp:effectExtent l="4445" t="5080" r="12065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1840" cy="73336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9pt;margin-top:18.6pt;height:577.45pt;width:459.2pt;z-index:251662336;mso-width-relative:page;mso-height-relative:page;" filled="f" stroked="t" coordsize="21600,21600" o:gfxdata="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Np+A9kAAAALAQAADwAAAAAAAAABACAAAAAiAAAAZHJzL2Rvd25yZXYueG1s&#10;UEsBAhQAFAAAAAgAh07iQLJZRvL3AQAA9gMAAA4AAAAAAAAAAQAgAAAAKAEAAGRycy9lMm9Eb2Mu&#10;eG1sUEsFBgAAAAAGAAYAWQEAAJEFAAAAAA==&#10;">
                <v:fill on="f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8"/>
        </w:rPr>
        <w:t>报告编号：</w:t>
      </w:r>
      <w:r>
        <w:rPr>
          <w:rFonts w:hint="default" w:ascii="Times New Roman" w:hAnsi="Times New Roman" w:cs="Times New Roman"/>
          <w:sz w:val="24"/>
        </w:rPr>
        <w:t>JS/BG-P23</w:t>
      </w:r>
      <w:r>
        <w:rPr>
          <w:rFonts w:hint="eastAsia" w:cs="Times New Roman"/>
          <w:sz w:val="24"/>
          <w:lang w:val="en-US" w:eastAsia="zh-CN"/>
        </w:rPr>
        <w:t>11</w:t>
      </w:r>
      <w:r>
        <w:rPr>
          <w:rFonts w:hint="default" w:ascii="Times New Roman" w:hAnsi="Times New Roman" w:cs="Times New Roman"/>
          <w:sz w:val="24"/>
        </w:rPr>
        <w:t>00</w:t>
      </w:r>
      <w:r>
        <w:rPr>
          <w:rFonts w:hint="eastAsia" w:cs="Times New Roman"/>
          <w:sz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8"/>
        </w:rPr>
        <w:t xml:space="preserve">                                     页码：3/3</w:t>
      </w:r>
    </w:p>
    <w:p>
      <w:pPr>
        <w:widowControl/>
        <w:spacing w:line="360" w:lineRule="auto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eastAsia" w:cs="Times New Roman"/>
          <w:b/>
          <w:bCs/>
          <w:sz w:val="24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bCs/>
          <w:sz w:val="24"/>
        </w:rPr>
        <w:t>、检测说明</w:t>
      </w:r>
    </w:p>
    <w:p>
      <w:pPr>
        <w:widowControl/>
        <w:spacing w:line="360" w:lineRule="auto"/>
        <w:rPr>
          <w:rFonts w:hint="default" w:ascii="Times New Roman" w:hAnsi="Times New Roman" w:cs="Times New Roman"/>
          <w:b/>
          <w:bCs/>
          <w:kern w:val="0"/>
          <w:sz w:val="24"/>
        </w:rPr>
      </w:pPr>
      <w:r>
        <w:rPr>
          <w:rFonts w:hint="default" w:ascii="Times New Roman" w:hAnsi="Times New Roman" w:cs="Times New Roman"/>
          <w:b/>
          <w:bCs/>
          <w:kern w:val="0"/>
          <w:sz w:val="24"/>
        </w:rPr>
        <w:t>1. 检测方法描述</w:t>
      </w:r>
    </w:p>
    <w:p>
      <w:pPr>
        <w:widowControl/>
        <w:spacing w:line="360" w:lineRule="auto"/>
        <w:ind w:firstLine="480" w:firstLineChars="200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依据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>T/XXXX XXXX-XXXX</w:t>
      </w:r>
      <w:r>
        <w:rPr>
          <w:rFonts w:hint="default" w:ascii="Times New Roman" w:hAnsi="Times New Roman" w:eastAsia="宋体" w:cs="Times New Roman"/>
          <w:sz w:val="24"/>
          <w:szCs w:val="24"/>
        </w:rPr>
        <w:t>《</w:t>
      </w:r>
      <w:r>
        <w:rPr>
          <w:rFonts w:hint="eastAsia" w:cs="Times New Roman"/>
          <w:sz w:val="24"/>
          <w:szCs w:val="24"/>
          <w:lang w:val="en-US" w:eastAsia="zh-CN"/>
        </w:rPr>
        <w:t>电泳光散射法zeta电位仪校准规范</w:t>
      </w:r>
      <w:r>
        <w:rPr>
          <w:rFonts w:hint="default" w:ascii="Times New Roman" w:hAnsi="Times New Roman" w:eastAsia="宋体" w:cs="Times New Roman"/>
          <w:sz w:val="24"/>
          <w:szCs w:val="24"/>
        </w:rPr>
        <w:t>》进行</w:t>
      </w:r>
      <w:r>
        <w:rPr>
          <w:rFonts w:hint="eastAsia" w:cs="Times New Roman"/>
          <w:sz w:val="24"/>
          <w:szCs w:val="24"/>
          <w:lang w:val="en-US" w:eastAsia="zh-CN"/>
        </w:rPr>
        <w:t>zeta电位</w:t>
      </w:r>
      <w:r>
        <w:rPr>
          <w:rFonts w:hint="default" w:ascii="Times New Roman" w:hAnsi="Times New Roman" w:eastAsia="宋体" w:cs="Times New Roman"/>
          <w:sz w:val="24"/>
          <w:szCs w:val="24"/>
        </w:rPr>
        <w:t>、</w:t>
      </w:r>
      <w:r>
        <w:rPr>
          <w:rFonts w:hint="eastAsia" w:cs="Times New Roman"/>
          <w:sz w:val="24"/>
          <w:szCs w:val="24"/>
          <w:lang w:val="en-US" w:eastAsia="zh-CN"/>
        </w:rPr>
        <w:t>电泳迁移率的</w:t>
      </w:r>
      <w:r>
        <w:rPr>
          <w:rFonts w:hint="default" w:ascii="Times New Roman" w:hAnsi="Times New Roman" w:eastAsia="宋体" w:cs="Times New Roman"/>
          <w:sz w:val="24"/>
          <w:szCs w:val="24"/>
        </w:rPr>
        <w:t>测试。</w:t>
      </w:r>
    </w:p>
    <w:p>
      <w:pPr>
        <w:widowControl/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eastAsia" w:cs="Times New Roman"/>
          <w:b/>
          <w:bCs/>
          <w:sz w:val="24"/>
          <w:lang w:val="en-US" w:eastAsia="zh-CN"/>
        </w:rPr>
        <w:t>标准物质</w:t>
      </w:r>
      <w:r>
        <w:rPr>
          <w:rFonts w:hint="default" w:ascii="Times New Roman" w:hAnsi="Times New Roman" w:cs="Times New Roman"/>
          <w:b/>
          <w:bCs/>
          <w:sz w:val="24"/>
        </w:rPr>
        <w:t>信息</w:t>
      </w:r>
    </w:p>
    <w:tbl>
      <w:tblPr>
        <w:tblStyle w:val="4"/>
        <w:tblW w:w="8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928"/>
        <w:gridCol w:w="763"/>
        <w:gridCol w:w="1020"/>
        <w:gridCol w:w="1304"/>
        <w:gridCol w:w="1531"/>
        <w:gridCol w:w="19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  <w:t>样品编号</w:t>
            </w:r>
          </w:p>
        </w:tc>
        <w:tc>
          <w:tcPr>
            <w:tcW w:w="928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kern w:val="0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浓度</w:t>
            </w:r>
          </w:p>
        </w:tc>
        <w:tc>
          <w:tcPr>
            <w:tcW w:w="10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zeta电位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值</w:t>
            </w:r>
          </w:p>
          <w:p>
            <w:pPr>
              <w:widowControl/>
              <w:jc w:val="center"/>
              <w:rPr>
                <w:rFonts w:hint="default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（mV）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z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eta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电位参考值的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扩展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不确定度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（k=2）</w:t>
            </w:r>
          </w:p>
          <w:p>
            <w:pPr>
              <w:widowControl/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（mV）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电泳迁移率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标准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值</w:t>
            </w:r>
          </w:p>
          <w:p>
            <w:pPr>
              <w:widowControl/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92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电泳迁移率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参考值的</w:t>
            </w: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扩展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不确定度</w:t>
            </w:r>
          </w:p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（k=2）</w:t>
            </w:r>
          </w:p>
          <w:p>
            <w:pPr>
              <w:widowControl/>
              <w:jc w:val="center"/>
              <w:rPr>
                <w:rFonts w:hint="eastAsia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×10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V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s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  <w:lang w:val="en-US" w:eastAsia="zh-CN"/>
              </w:rPr>
              <w:t>-1</w:t>
            </w:r>
            <w:r>
              <w:rPr>
                <w:rFonts w:hint="eastAsia" w:cs="Times New Roman"/>
                <w:sz w:val="21"/>
                <w:szCs w:val="21"/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SRM 1992</w:t>
            </w:r>
          </w:p>
        </w:tc>
        <w:tc>
          <w:tcPr>
            <w:tcW w:w="92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胶体二氧化硅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0.15%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-58</w:t>
            </w: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-4.5</w:t>
            </w:r>
          </w:p>
        </w:tc>
        <w:tc>
          <w:tcPr>
            <w:tcW w:w="192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23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SRM 1993</w:t>
            </w:r>
          </w:p>
        </w:tc>
        <w:tc>
          <w:tcPr>
            <w:tcW w:w="92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kern w:val="0"/>
                <w:sz w:val="21"/>
                <w:szCs w:val="21"/>
                <w:lang w:val="en-US" w:eastAsia="zh-CN"/>
              </w:rPr>
              <w:t>胶体二氧化硅</w:t>
            </w:r>
          </w:p>
        </w:tc>
        <w:tc>
          <w:tcPr>
            <w:tcW w:w="763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2.2%</w:t>
            </w:r>
          </w:p>
        </w:tc>
        <w:tc>
          <w:tcPr>
            <w:tcW w:w="1020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-56</w:t>
            </w:r>
          </w:p>
        </w:tc>
        <w:tc>
          <w:tcPr>
            <w:tcW w:w="1304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531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-4.3</w:t>
            </w:r>
          </w:p>
        </w:tc>
        <w:tc>
          <w:tcPr>
            <w:tcW w:w="1928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0.3</w:t>
            </w:r>
          </w:p>
        </w:tc>
      </w:tr>
    </w:tbl>
    <w:p>
      <w:pPr>
        <w:widowControl/>
        <w:numPr>
          <w:ilvl w:val="0"/>
          <w:numId w:val="0"/>
        </w:numPr>
        <w:spacing w:line="360" w:lineRule="auto"/>
        <w:rPr>
          <w:rFonts w:hint="default" w:ascii="Times New Roman" w:hAnsi="Times New Roman" w:cs="Times New Roman"/>
          <w:sz w:val="24"/>
        </w:rPr>
      </w:pPr>
    </w:p>
    <w:p>
      <w:pPr>
        <w:widowControl/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检测条件</w:t>
      </w:r>
    </w:p>
    <w:p>
      <w:pPr>
        <w:widowControl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施加电场(150±5) mV，温度25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℃，样品介质为水，介质折射率1.332，介质粘度0.8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 w:bidi="ar"/>
        </w:rPr>
        <w:t xml:space="preserve">9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mPa▪s，介质相对介电常数78.4，介质密度997.05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lang w:val="en-US" w:eastAsia="zh-CN" w:bidi="ar"/>
        </w:rPr>
        <w:t>kg/m</w:t>
      </w:r>
      <w:r>
        <w:rPr>
          <w:rFonts w:hint="default" w:ascii="Times New Roman" w:hAnsi="Times New Roman" w:eastAsia="宋体" w:cs="Times New Roman"/>
          <w:color w:val="000000"/>
          <w:kern w:val="0"/>
          <w:sz w:val="16"/>
          <w:szCs w:val="16"/>
          <w:vertAlign w:val="superscript"/>
          <w:lang w:val="en-US" w:eastAsia="zh-CN" w:bidi="ar"/>
        </w:rPr>
        <w:t>3</w:t>
      </w:r>
      <w:r>
        <w:rPr>
          <w:rFonts w:hint="default" w:ascii="Times New Roman" w:hAnsi="Times New Roman" w:cs="Times New Roman"/>
          <w:sz w:val="24"/>
        </w:rPr>
        <w:t>。</w:t>
      </w:r>
    </w:p>
    <w:p>
      <w:pPr>
        <w:widowControl/>
        <w:numPr>
          <w:ilvl w:val="0"/>
          <w:numId w:val="1"/>
        </w:numPr>
        <w:spacing w:line="360" w:lineRule="auto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b/>
          <w:bCs/>
          <w:sz w:val="24"/>
        </w:rPr>
        <w:t>环境条件</w:t>
      </w:r>
    </w:p>
    <w:p>
      <w:pPr>
        <w:widowControl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  <w:lang w:val="en-US" w:eastAsia="zh-CN"/>
        </w:rPr>
        <w:t>环境温度为</w:t>
      </w:r>
      <w:r>
        <w:rPr>
          <w:rFonts w:hint="eastAsia" w:cs="Times New Roman"/>
          <w:sz w:val="24"/>
          <w:lang w:val="en-US" w:eastAsia="zh-CN"/>
        </w:rPr>
        <w:t>23.0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℃～</w:t>
      </w:r>
      <w:r>
        <w:rPr>
          <w:rFonts w:hint="eastAsia" w:cs="Times New Roman"/>
          <w:sz w:val="24"/>
          <w:lang w:val="en-US" w:eastAsia="zh-CN"/>
        </w:rPr>
        <w:t>23.2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℃，</w:t>
      </w:r>
      <w:r>
        <w:rPr>
          <w:rFonts w:hint="default" w:ascii="Times New Roman" w:hAnsi="Times New Roman" w:cs="Times New Roman"/>
          <w:sz w:val="24"/>
          <w:lang w:eastAsia="zh-CN"/>
        </w:rPr>
        <w:t>在测量期间，温度变化</w:t>
      </w:r>
      <w:r>
        <w:rPr>
          <w:rFonts w:hint="eastAsia" w:cs="Times New Roman"/>
          <w:sz w:val="24"/>
          <w:lang w:val="en-US" w:eastAsia="zh-CN"/>
        </w:rPr>
        <w:t>为0.2 ℃（满足</w:t>
      </w:r>
      <w:r>
        <w:rPr>
          <w:rFonts w:hint="default" w:ascii="Times New Roman" w:hAnsi="Times New Roman" w:cs="Times New Roman"/>
          <w:sz w:val="24"/>
          <w:lang w:val="en-US" w:eastAsia="zh-CN"/>
        </w:rPr>
        <w:t>不</w:t>
      </w:r>
      <w:r>
        <w:rPr>
          <w:rFonts w:hint="default" w:ascii="Times New Roman" w:hAnsi="Times New Roman" w:cs="Times New Roman"/>
          <w:sz w:val="24"/>
          <w:lang w:eastAsia="zh-CN"/>
        </w:rPr>
        <w:t>超过</w:t>
      </w:r>
      <w:r>
        <w:rPr>
          <w:rFonts w:hint="default" w:ascii="Times New Roman" w:hAnsi="Times New Roman" w:eastAsia="宋体" w:cs="Times New Roman"/>
          <w:color w:val="auto"/>
          <w:sz w:val="24"/>
          <w:szCs w:val="36"/>
          <w:highlight w:val="none"/>
          <w:lang w:val="en-US" w:eastAsia="zh-CN"/>
        </w:rPr>
        <w:t>±</w:t>
      </w:r>
      <w:r>
        <w:rPr>
          <w:rFonts w:hint="default" w:ascii="Times New Roman" w:hAnsi="Times New Roman" w:cs="Times New Roman"/>
          <w:sz w:val="24"/>
          <w:lang w:val="en-US" w:eastAsia="zh-CN"/>
        </w:rPr>
        <w:t>1</w:t>
      </w:r>
      <w:r>
        <w:rPr>
          <w:rFonts w:hint="eastAsia" w:cs="Times New Roman"/>
          <w:sz w:val="24"/>
          <w:lang w:val="en-US" w:eastAsia="zh-CN"/>
        </w:rPr>
        <w:t>.0</w:t>
      </w:r>
      <w:r>
        <w:rPr>
          <w:rFonts w:hint="default" w:ascii="Times New Roman" w:hAnsi="Times New Roman" w:cs="Times New Roman"/>
          <w:sz w:val="24"/>
          <w:lang w:val="en-US" w:eastAsia="zh-CN"/>
        </w:rPr>
        <w:t xml:space="preserve"> ℃</w:t>
      </w:r>
      <w:r>
        <w:rPr>
          <w:rFonts w:hint="eastAsia" w:cs="Times New Roman"/>
          <w:sz w:val="24"/>
          <w:lang w:val="en-US" w:eastAsia="zh-CN"/>
        </w:rPr>
        <w:t>的要求）</w:t>
      </w:r>
      <w:r>
        <w:rPr>
          <w:rFonts w:hint="default" w:ascii="Times New Roman" w:hAnsi="Times New Roman" w:cs="Times New Roman"/>
          <w:sz w:val="24"/>
          <w:lang w:eastAsia="zh-CN"/>
        </w:rPr>
        <w:t>；</w:t>
      </w:r>
      <w:r>
        <w:rPr>
          <w:rFonts w:hint="default" w:ascii="Times New Roman" w:hAnsi="Times New Roman" w:cs="Times New Roman"/>
          <w:sz w:val="24"/>
          <w:lang w:val="en-US" w:eastAsia="zh-CN"/>
        </w:rPr>
        <w:t>相对湿度</w:t>
      </w:r>
      <w:r>
        <w:rPr>
          <w:rFonts w:hint="eastAsia" w:cs="Times New Roman"/>
          <w:sz w:val="24"/>
          <w:lang w:val="en-US" w:eastAsia="zh-CN"/>
        </w:rPr>
        <w:t>49%（满足</w:t>
      </w:r>
      <w:r>
        <w:rPr>
          <w:rFonts w:hint="default" w:ascii="Times New Roman" w:hAnsi="Times New Roman" w:cs="Times New Roman"/>
          <w:sz w:val="24"/>
          <w:lang w:val="en-US" w:eastAsia="zh-CN"/>
        </w:rPr>
        <w:t>不大于75%</w:t>
      </w:r>
      <w:r>
        <w:rPr>
          <w:rFonts w:hint="eastAsia" w:cs="Times New Roman"/>
          <w:sz w:val="24"/>
          <w:lang w:val="en-US" w:eastAsia="zh-CN"/>
        </w:rPr>
        <w:t>的要求）</w:t>
      </w:r>
      <w:r>
        <w:rPr>
          <w:rFonts w:hint="default" w:ascii="Times New Roman" w:hAnsi="Times New Roman" w:cs="Times New Roman"/>
          <w:sz w:val="24"/>
          <w:lang w:val="en-US" w:eastAsia="zh-CN"/>
        </w:rPr>
        <w:t>。</w:t>
      </w:r>
    </w:p>
    <w:p>
      <w:pPr>
        <w:widowControl/>
        <w:spacing w:line="360" w:lineRule="auto"/>
        <w:jc w:val="center"/>
        <w:rPr>
          <w:rFonts w:hint="default" w:ascii="Times New Roman" w:hAnsi="Times New Roman" w:cs="Times New Roman"/>
          <w:kern w:val="0"/>
          <w:sz w:val="24"/>
        </w:rPr>
      </w:pPr>
      <w:r>
        <w:rPr>
          <w:rFonts w:hint="default" w:ascii="Times New Roman" w:hAnsi="Times New Roman" w:cs="Times New Roman"/>
          <w:kern w:val="0"/>
          <w:sz w:val="24"/>
        </w:rPr>
        <w:t>***报告结束***</w:t>
      </w:r>
    </w:p>
    <w:p>
      <w:pPr>
        <w:widowControl/>
        <w:spacing w:line="360" w:lineRule="auto"/>
        <w:ind w:firstLine="48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sz w:val="24"/>
        </w:rPr>
        <w:t>本报告检测结果仅对来样负责，只能全部复制，不得部分复制。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left"/>
      <w:rPr>
        <w:rFonts w:ascii="宋体" w:hAnsi="宋体" w:cs="宋体"/>
        <w:szCs w:val="21"/>
      </w:rPr>
    </w:pPr>
    <w:r>
      <w:rPr>
        <w:rFonts w:hint="eastAsia" w:ascii="宋体" w:hAnsi="宋体" w:cs="宋体"/>
        <w:szCs w:val="21"/>
      </w:rPr>
      <w:t>山东省东营市东营区浏阳河路61号</w:t>
    </w:r>
  </w:p>
  <w:p>
    <w:pPr>
      <w:spacing w:line="360" w:lineRule="auto"/>
      <w:jc w:val="left"/>
      <w:rPr>
        <w:rFonts w:ascii="宋体" w:hAnsi="宋体" w:cs="宋体"/>
        <w:szCs w:val="21"/>
      </w:rPr>
    </w:pPr>
    <w:r>
      <w:rPr>
        <w:rFonts w:hint="eastAsia" w:ascii="宋体" w:hAnsi="宋体" w:cs="宋体"/>
        <w:szCs w:val="21"/>
      </w:rPr>
      <w:t>电话：17754671721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360" w:lineRule="auto"/>
      <w:jc w:val="left"/>
      <w:rPr>
        <w:rFonts w:ascii="宋体" w:hAnsi="宋体" w:cs="宋体"/>
        <w:szCs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90"/>
      <w:rPr>
        <w:rFonts w:ascii="宋体" w:hAnsi="宋体" w:cs="宋体"/>
        <w:sz w:val="20"/>
        <w:szCs w:val="20"/>
      </w:rPr>
    </w:pPr>
    <w:r>
      <w:rPr>
        <w:rFonts w:hint="eastAsia"/>
      </w:rPr>
      <w:t xml:space="preserve">  </w:t>
    </w:r>
    <w:r>
      <w:drawing>
        <wp:inline distT="0" distB="0" distL="0" distR="0">
          <wp:extent cx="1073785" cy="191135"/>
          <wp:effectExtent l="0" t="0" r="0" b="0"/>
          <wp:docPr id="1088154189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8154189" name="图片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3785" cy="191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                                               </w:t>
    </w:r>
    <w:r>
      <w:rPr>
        <w:rFonts w:hint="eastAsia" w:ascii="宋体" w:hAnsi="宋体" w:cs="宋体"/>
        <w:sz w:val="20"/>
        <w:szCs w:val="20"/>
      </w:rPr>
      <w:t>编  号：JS PG-177</w:t>
    </w:r>
  </w:p>
  <w:p>
    <w:pPr>
      <w:pStyle w:val="2"/>
      <w:ind w:right="90" w:firstLine="6400" w:firstLineChars="3200"/>
      <w:rPr>
        <w:rFonts w:ascii="宋体" w:hAnsi="宋体" w:cs="宋体"/>
        <w:sz w:val="20"/>
        <w:szCs w:val="20"/>
      </w:rPr>
    </w:pPr>
    <w:r>
      <w:rPr>
        <w:rFonts w:hint="eastAsia" w:ascii="宋体" w:hAnsi="宋体" w:cs="宋体"/>
        <w:sz w:val="20"/>
        <w:szCs w:val="20"/>
      </w:rPr>
      <w:t>版本号：</w:t>
    </w:r>
    <w:r>
      <w:rPr>
        <w:sz w:val="20"/>
        <w:szCs w:val="20"/>
      </w:rPr>
      <w:t>1/1 (02/2023）</w:t>
    </w:r>
  </w:p>
  <w:p>
    <w:pPr>
      <w:pStyle w:val="3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E2C544"/>
    <w:multiLevelType w:val="singleLevel"/>
    <w:tmpl w:val="E4E2C54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Y4NDkwOGUxMDEzMTJiYTM4ZWVmNzgxNTQwNDE0YWMifQ=="/>
  </w:docVars>
  <w:rsids>
    <w:rsidRoot w:val="00886793"/>
    <w:rsid w:val="00126390"/>
    <w:rsid w:val="002B6AB1"/>
    <w:rsid w:val="0035699C"/>
    <w:rsid w:val="003867A0"/>
    <w:rsid w:val="007A1658"/>
    <w:rsid w:val="00851258"/>
    <w:rsid w:val="00886793"/>
    <w:rsid w:val="008D3449"/>
    <w:rsid w:val="00910EAA"/>
    <w:rsid w:val="00AA28C7"/>
    <w:rsid w:val="00AB1455"/>
    <w:rsid w:val="00B63039"/>
    <w:rsid w:val="00CE5AD7"/>
    <w:rsid w:val="00DF6CC6"/>
    <w:rsid w:val="00E211B8"/>
    <w:rsid w:val="00F85CEA"/>
    <w:rsid w:val="011B6997"/>
    <w:rsid w:val="01EA51B9"/>
    <w:rsid w:val="02094E3E"/>
    <w:rsid w:val="027619AC"/>
    <w:rsid w:val="03EC0177"/>
    <w:rsid w:val="043C5D2E"/>
    <w:rsid w:val="04497378"/>
    <w:rsid w:val="07C8562F"/>
    <w:rsid w:val="09DB4F16"/>
    <w:rsid w:val="09E244F6"/>
    <w:rsid w:val="0A40746F"/>
    <w:rsid w:val="0A674C59"/>
    <w:rsid w:val="0AAE6186"/>
    <w:rsid w:val="0C36104F"/>
    <w:rsid w:val="0CDB6A42"/>
    <w:rsid w:val="0D5154EF"/>
    <w:rsid w:val="0ECA5559"/>
    <w:rsid w:val="0F227C07"/>
    <w:rsid w:val="0FE1391C"/>
    <w:rsid w:val="11691AF2"/>
    <w:rsid w:val="11D16376"/>
    <w:rsid w:val="123A3092"/>
    <w:rsid w:val="132536A6"/>
    <w:rsid w:val="13BF7656"/>
    <w:rsid w:val="14A55A2C"/>
    <w:rsid w:val="154822FB"/>
    <w:rsid w:val="155C279F"/>
    <w:rsid w:val="195C76F5"/>
    <w:rsid w:val="1A75281D"/>
    <w:rsid w:val="1AD64441"/>
    <w:rsid w:val="1E6A01BF"/>
    <w:rsid w:val="1EBD7BBF"/>
    <w:rsid w:val="1FBC0EEE"/>
    <w:rsid w:val="2099122F"/>
    <w:rsid w:val="20994D8B"/>
    <w:rsid w:val="20E92118"/>
    <w:rsid w:val="210F28EA"/>
    <w:rsid w:val="22294F08"/>
    <w:rsid w:val="242F7EE0"/>
    <w:rsid w:val="243E4909"/>
    <w:rsid w:val="24BC729A"/>
    <w:rsid w:val="24C148B0"/>
    <w:rsid w:val="260E215B"/>
    <w:rsid w:val="26E34FB2"/>
    <w:rsid w:val="289A2E7C"/>
    <w:rsid w:val="2B5E10AB"/>
    <w:rsid w:val="2E5C3FC8"/>
    <w:rsid w:val="2F5C6B16"/>
    <w:rsid w:val="31093867"/>
    <w:rsid w:val="311548E9"/>
    <w:rsid w:val="32FE1B57"/>
    <w:rsid w:val="35D72186"/>
    <w:rsid w:val="361C228F"/>
    <w:rsid w:val="37841E99"/>
    <w:rsid w:val="38241D8A"/>
    <w:rsid w:val="388859B9"/>
    <w:rsid w:val="39335080"/>
    <w:rsid w:val="3ABC7F98"/>
    <w:rsid w:val="3BF05D4F"/>
    <w:rsid w:val="3DFD2793"/>
    <w:rsid w:val="3E30750E"/>
    <w:rsid w:val="3EA17E71"/>
    <w:rsid w:val="3ED01E68"/>
    <w:rsid w:val="42034CAB"/>
    <w:rsid w:val="42EE0B0F"/>
    <w:rsid w:val="433513AB"/>
    <w:rsid w:val="450808AD"/>
    <w:rsid w:val="45AF3CA8"/>
    <w:rsid w:val="48CC18F2"/>
    <w:rsid w:val="48FC3F85"/>
    <w:rsid w:val="49F71255"/>
    <w:rsid w:val="4AB87D47"/>
    <w:rsid w:val="4BD96800"/>
    <w:rsid w:val="4D6E2F78"/>
    <w:rsid w:val="4DCB3483"/>
    <w:rsid w:val="4F7528F1"/>
    <w:rsid w:val="4FEE3FEF"/>
    <w:rsid w:val="50A53155"/>
    <w:rsid w:val="50C17863"/>
    <w:rsid w:val="514951D3"/>
    <w:rsid w:val="534C3D5B"/>
    <w:rsid w:val="53B8319F"/>
    <w:rsid w:val="55517407"/>
    <w:rsid w:val="55A113E7"/>
    <w:rsid w:val="55F0699B"/>
    <w:rsid w:val="56A31EE4"/>
    <w:rsid w:val="573625D1"/>
    <w:rsid w:val="574C257C"/>
    <w:rsid w:val="5AB87F28"/>
    <w:rsid w:val="5B763DC8"/>
    <w:rsid w:val="5C002C68"/>
    <w:rsid w:val="5D972077"/>
    <w:rsid w:val="604612EF"/>
    <w:rsid w:val="606450C7"/>
    <w:rsid w:val="620C7363"/>
    <w:rsid w:val="62C50B89"/>
    <w:rsid w:val="63052056"/>
    <w:rsid w:val="63344891"/>
    <w:rsid w:val="64855A5A"/>
    <w:rsid w:val="64A62BA0"/>
    <w:rsid w:val="65D53E42"/>
    <w:rsid w:val="66B87B99"/>
    <w:rsid w:val="69392234"/>
    <w:rsid w:val="6A31115D"/>
    <w:rsid w:val="6A3D3CE1"/>
    <w:rsid w:val="6B2B69B0"/>
    <w:rsid w:val="6B87274D"/>
    <w:rsid w:val="6BAD1A08"/>
    <w:rsid w:val="6C360CAD"/>
    <w:rsid w:val="6F307625"/>
    <w:rsid w:val="6F4475EA"/>
    <w:rsid w:val="736D76AA"/>
    <w:rsid w:val="758C6A3D"/>
    <w:rsid w:val="75C630A2"/>
    <w:rsid w:val="75DF4163"/>
    <w:rsid w:val="769907B6"/>
    <w:rsid w:val="76995E06"/>
    <w:rsid w:val="76D11CFE"/>
    <w:rsid w:val="77302EC9"/>
    <w:rsid w:val="79AC0800"/>
    <w:rsid w:val="7B8C08E9"/>
    <w:rsid w:val="7BAB045C"/>
    <w:rsid w:val="7C202082"/>
    <w:rsid w:val="7D4E22FA"/>
    <w:rsid w:val="7DA43CC8"/>
    <w:rsid w:val="7E854BB5"/>
    <w:rsid w:val="7ED625A7"/>
    <w:rsid w:val="7F9B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basedOn w:val="5"/>
    <w:link w:val="2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Table Paragraph"/>
    <w:basedOn w:val="1"/>
    <w:autoRedefine/>
    <w:qFormat/>
    <w:uiPriority w:val="1"/>
    <w:rPr>
      <w:rFonts w:eastAsia="Times New Roman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../../Administrator/Documents/WXWork/1688850975902555/Cache/Image/2023-06/&#36808;&#35889;&#26631;&#35782;0.54-2.99.png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681</Words>
  <Characters>1051</Characters>
  <Lines>20</Lines>
  <Paragraphs>5</Paragraphs>
  <TotalTime>4</TotalTime>
  <ScaleCrop>false</ScaleCrop>
  <LinksUpToDate>false</LinksUpToDate>
  <CharactersWithSpaces>1322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2023-10-07T00:54:00Z</dcterms:created>
  <dc:creator>DELL</dc:creator>
  <cp:lastModifiedBy>魏玮</cp:lastModifiedBy>
  <dcterms:modified xsi:type="dcterms:W3CDTF">2024-04-30T02:51:28Z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A3AB388B790D4E378DD95F10DFDBA61E_12</vt:lpwstr>
  </property>
</Properties>
</file>